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0" t="28575" r="0" b="3429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浙商大泰隆团函〔2023〕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浙江工商大学泰隆金融学院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关于给予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郑心羽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等1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5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位同学通报表扬的决定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在2023年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泰隆银行三十周年庆典</w:t>
      </w:r>
      <w:r>
        <w:rPr>
          <w:rFonts w:hint="eastAsia" w:ascii="仿宋_GB2312" w:hAnsi="Times New Roman" w:eastAsia="仿宋_GB2312"/>
          <w:sz w:val="32"/>
          <w:szCs w:val="32"/>
        </w:rPr>
        <w:t>中，我院同学积极准备，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配合完成节目《从现在到未来》，</w:t>
      </w:r>
      <w:r>
        <w:rPr>
          <w:rFonts w:hint="eastAsia" w:ascii="仿宋_GB2312" w:hAnsi="Times New Roman" w:eastAsia="仿宋_GB2312"/>
          <w:sz w:val="32"/>
          <w:szCs w:val="32"/>
        </w:rPr>
        <w:t>以良好的风貌展示了我院学生乐观积极、奋发向上的风采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为了表彰先进，经研究决定给予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郑心羽</w:t>
      </w:r>
      <w:r>
        <w:rPr>
          <w:rFonts w:hint="eastAsia" w:ascii="仿宋_GB2312" w:hAnsi="Times New Roman" w:eastAsia="仿宋_GB2312"/>
          <w:sz w:val="32"/>
          <w:szCs w:val="32"/>
        </w:rPr>
        <w:t>等1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位同学院内通报表扬。具体名单如下：</w:t>
      </w:r>
    </w:p>
    <w:p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2"/>
        <w:gridCol w:w="1812"/>
        <w:gridCol w:w="1812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郑心羽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邵楠茜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周晨阳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王艺瑾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沈婉链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陈丽婷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钟逸婷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孔子宁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冯婧怡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邵楚安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诚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厉宇焕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婧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倪张诗雨</w:t>
            </w:r>
          </w:p>
        </w:tc>
        <w:tc>
          <w:tcPr>
            <w:tcW w:w="1812" w:type="dxa"/>
          </w:tcPr>
          <w:p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潘易臣</w:t>
            </w:r>
          </w:p>
        </w:tc>
      </w:tr>
    </w:tbl>
    <w:p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pStyle w:val="5"/>
        <w:spacing w:line="560" w:lineRule="exact"/>
        <w:ind w:firstLine="2400" w:firstLineChars="750"/>
        <w:jc w:val="righ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</w:p>
    <w:p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2023年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月1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5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6EEB54B-25F4-4354-BCD7-FF944982B9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EEDE49B-41F0-4F08-BDBB-D777DC5612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8CD858-6D75-47F6-9754-B6F3218DBE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mE3NjFmMjI2N2IwM2EwYmM2NTliNTcxMmU4MjUifQ=="/>
  </w:docVars>
  <w:rsids>
    <w:rsidRoot w:val="00000000"/>
    <w:rsid w:val="014F6641"/>
    <w:rsid w:val="27054F28"/>
    <w:rsid w:val="4EEA1228"/>
    <w:rsid w:val="52552958"/>
    <w:rsid w:val="555B64D8"/>
    <w:rsid w:val="57F10A2D"/>
    <w:rsid w:val="58873140"/>
    <w:rsid w:val="5EFB78F8"/>
    <w:rsid w:val="635B76A3"/>
    <w:rsid w:val="68106CAE"/>
    <w:rsid w:val="7B6F0D71"/>
    <w:rsid w:val="7F475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2023-12-15T17:34:00Z</dcterms:created>
  <dc:creator>iPad</dc:creator>
  <cp:lastModifiedBy>连连看</cp:lastModifiedBy>
  <dcterms:modified xsi:type="dcterms:W3CDTF">2024-01-17T05:39:34Z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F588CD392E3405D735AD7B658DF050FD_31</vt:lpwstr>
  </property>
</Properties>
</file>